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1B808">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both"/>
        <w:outlineLvl w:val="9"/>
        <w:rPr>
          <w:rFonts w:hint="default"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spacing w:val="0"/>
          <w:sz w:val="32"/>
          <w:szCs w:val="32"/>
          <w:highlight w:val="none"/>
          <w:lang w:val="en-US" w:eastAsia="zh-CN"/>
        </w:rPr>
        <w:t>附件</w:t>
      </w:r>
      <w:r>
        <w:rPr>
          <w:rFonts w:hint="eastAsia" w:ascii="Times New Roman" w:hAnsi="Times New Roman" w:eastAsia="黑体" w:cs="Times New Roman"/>
          <w:spacing w:val="0"/>
          <w:sz w:val="32"/>
          <w:szCs w:val="32"/>
          <w:highlight w:val="none"/>
          <w:lang w:val="en-US" w:eastAsia="zh-CN"/>
        </w:rPr>
        <w:t>4</w:t>
      </w:r>
    </w:p>
    <w:p w14:paraId="5E9EC150">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left"/>
        <w:outlineLvl w:val="9"/>
        <w:rPr>
          <w:rFonts w:hint="default" w:ascii="Times New Roman" w:hAnsi="Times New Roman" w:eastAsia="Arial Unicode MS" w:cs="Times New Roman"/>
          <w:spacing w:val="0"/>
          <w:sz w:val="44"/>
          <w:szCs w:val="44"/>
          <w:highlight w:val="none"/>
          <w:lang w:val="en-US" w:eastAsia="zh-CN"/>
        </w:rPr>
      </w:pPr>
    </w:p>
    <w:p w14:paraId="4270AC72">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eastAsia" w:ascii="方正小标宋简体" w:hAnsi="方正小标宋简体" w:eastAsia="方正小标宋简体" w:cs="方正小标宋简体"/>
          <w:spacing w:val="0"/>
          <w:sz w:val="44"/>
          <w:szCs w:val="44"/>
          <w:highlight w:val="none"/>
          <w:lang w:val="en-US" w:eastAsia="zh-CN"/>
        </w:rPr>
      </w:pPr>
      <w:bookmarkStart w:id="0" w:name="_GoBack"/>
      <w:r>
        <w:rPr>
          <w:rFonts w:hint="eastAsia" w:ascii="方正小标宋简体" w:hAnsi="方正小标宋简体" w:eastAsia="方正小标宋简体" w:cs="方正小标宋简体"/>
          <w:spacing w:val="0"/>
          <w:sz w:val="44"/>
          <w:szCs w:val="44"/>
          <w:highlight w:val="none"/>
          <w:lang w:val="en-US" w:eastAsia="zh-CN"/>
        </w:rPr>
        <w:t>浙江省国际大学生创新大赛（2026）</w:t>
      </w:r>
    </w:p>
    <w:p w14:paraId="7667152D">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eastAsia" w:ascii="方正小标宋简体" w:hAnsi="方正小标宋简体" w:eastAsia="方正小标宋简体" w:cs="方正小标宋简体"/>
          <w:spacing w:val="0"/>
          <w:sz w:val="44"/>
          <w:szCs w:val="44"/>
          <w:highlight w:val="none"/>
          <w:lang w:val="en-US" w:eastAsia="zh-CN"/>
        </w:rPr>
      </w:pPr>
      <w:r>
        <w:rPr>
          <w:rFonts w:hint="eastAsia" w:ascii="方正小标宋简体" w:hAnsi="方正小标宋简体" w:eastAsia="方正小标宋简体" w:cs="方正小标宋简体"/>
          <w:spacing w:val="0"/>
          <w:sz w:val="44"/>
          <w:szCs w:val="44"/>
          <w:highlight w:val="none"/>
          <w:lang w:val="en-US" w:eastAsia="zh-CN"/>
        </w:rPr>
        <w:t>人工智能赛道方案</w:t>
      </w:r>
      <w:bookmarkEnd w:id="0"/>
    </w:p>
    <w:p w14:paraId="3093E441">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00" w:firstLineChars="200"/>
        <w:jc w:val="both"/>
        <w:outlineLvl w:val="0"/>
        <w:rPr>
          <w:rFonts w:hint="default" w:ascii="Times New Roman" w:hAnsi="Times New Roman" w:eastAsia="黑体" w:cs="Times New Roman"/>
          <w:spacing w:val="0"/>
          <w:kern w:val="2"/>
          <w:sz w:val="30"/>
          <w:szCs w:val="30"/>
          <w:highlight w:val="none"/>
          <w:lang w:val="en-US" w:eastAsia="zh-CN" w:bidi="ar-SA"/>
        </w:rPr>
      </w:pPr>
    </w:p>
    <w:p w14:paraId="1C9D44A7">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浙江省国际大学生创新大赛</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202</w:t>
      </w:r>
      <w:r>
        <w:rPr>
          <w:rFonts w:hint="eastAsia" w:ascii="Times New Roman" w:hAnsi="Times New Roman" w:eastAsia="仿宋_GB2312" w:cs="Times New Roman"/>
          <w:spacing w:val="0"/>
          <w:kern w:val="2"/>
          <w:sz w:val="32"/>
          <w:szCs w:val="32"/>
          <w:highlight w:val="none"/>
          <w:lang w:val="en-US" w:eastAsia="zh-CN" w:bidi="ar-SA"/>
        </w:rPr>
        <w:t>6）</w:t>
      </w:r>
      <w:r>
        <w:rPr>
          <w:rFonts w:hint="default" w:ascii="Times New Roman" w:hAnsi="Times New Roman" w:eastAsia="仿宋_GB2312" w:cs="Times New Roman"/>
          <w:spacing w:val="0"/>
          <w:kern w:val="2"/>
          <w:sz w:val="32"/>
          <w:szCs w:val="32"/>
          <w:highlight w:val="none"/>
          <w:lang w:val="en-US" w:eastAsia="zh-CN" w:bidi="ar-SA"/>
        </w:rPr>
        <w:t>设立</w:t>
      </w:r>
      <w:r>
        <w:rPr>
          <w:rFonts w:hint="eastAsia" w:ascii="Times New Roman" w:hAnsi="Times New Roman" w:eastAsia="仿宋_GB2312" w:cs="Times New Roman"/>
          <w:spacing w:val="0"/>
          <w:kern w:val="2"/>
          <w:sz w:val="32"/>
          <w:szCs w:val="32"/>
          <w:highlight w:val="none"/>
          <w:lang w:val="en-US" w:eastAsia="zh-CN" w:bidi="ar-SA"/>
        </w:rPr>
        <w:t>人工智能</w:t>
      </w:r>
      <w:r>
        <w:rPr>
          <w:rFonts w:hint="default" w:ascii="Times New Roman" w:hAnsi="Times New Roman" w:eastAsia="仿宋_GB2312" w:cs="Times New Roman"/>
          <w:spacing w:val="0"/>
          <w:kern w:val="2"/>
          <w:sz w:val="32"/>
          <w:szCs w:val="32"/>
          <w:highlight w:val="none"/>
          <w:lang w:val="en-US" w:eastAsia="zh-CN" w:bidi="ar-SA"/>
        </w:rPr>
        <w:t>赛道，推进产教融合、科教融汇。具体工作方案如下。</w:t>
      </w:r>
    </w:p>
    <w:p w14:paraId="003A46D2">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eastAsia="黑体" w:cs="Times New Roman"/>
          <w:b w:val="0"/>
          <w:bCs w:val="0"/>
          <w:spacing w:val="0"/>
          <w:sz w:val="32"/>
          <w:szCs w:val="32"/>
          <w:highlight w:val="none"/>
          <w:lang w:eastAsia="en-US"/>
        </w:rPr>
      </w:pPr>
      <w:r>
        <w:rPr>
          <w:rFonts w:ascii="Times New Roman" w:hAnsi="Times New Roman" w:eastAsia="黑体" w:cs="Times New Roman"/>
          <w:b w:val="0"/>
          <w:bCs w:val="0"/>
          <w:spacing w:val="0"/>
          <w:sz w:val="32"/>
          <w:szCs w:val="32"/>
          <w:highlight w:val="none"/>
          <w:lang w:eastAsia="en-US"/>
        </w:rPr>
        <w:t>一、目标任务</w:t>
      </w:r>
    </w:p>
    <w:p w14:paraId="668F036A">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（一）发挥开放创新效用，打通高校智力资源和企业发展需求，协同解决企业发展中所面临的技术、管理等现实问题。</w:t>
      </w:r>
    </w:p>
    <w:p w14:paraId="32AF42C1">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（二）引导高校将创新创业教育实践与产业发展有机结合，促</w:t>
      </w:r>
      <w:r>
        <w:rPr>
          <w:rFonts w:hint="default" w:ascii="Times New Roman" w:hAnsi="Times New Roman" w:eastAsia="仿宋_GB2312" w:cs="Times New Roman"/>
          <w:spacing wpsCustomData:val="12" w:val="0"/>
          <w:kern w:val="2"/>
          <w:sz w:val="32"/>
          <w:szCs w:val="32"/>
          <w:highlight w:val="none"/>
          <w:lang w:val="en-US" w:eastAsia="zh-CN" w:bidi="ar-SA"/>
        </w:rPr>
        <w:t>进学生了解产业发展状况，培养学生解决产业发展问题</w:t>
      </w:r>
      <w:r>
        <w:rPr>
          <w:rFonts w:hint="default" w:ascii="Times New Roman" w:hAnsi="Times New Roman" w:eastAsia="仿宋_GB2312" w:cs="Times New Roman"/>
          <w:spacing wpsCustomData:val="-3" w:val="0"/>
          <w:kern w:val="2"/>
          <w:sz w:val="32"/>
          <w:szCs w:val="32"/>
          <w:highlight w:val="none"/>
          <w:lang w:val="en-US" w:eastAsia="zh-CN" w:bidi="ar-SA"/>
        </w:rPr>
        <w:t>的</w:t>
      </w:r>
      <w:r>
        <w:rPr>
          <w:rFonts w:hint="default" w:ascii="Times New Roman" w:hAnsi="Times New Roman" w:eastAsia="仿宋_GB2312" w:cs="Times New Roman"/>
          <w:spacing w:val="0"/>
          <w:kern w:val="2"/>
          <w:sz w:val="32"/>
          <w:szCs w:val="32"/>
          <w:highlight w:val="none"/>
          <w:lang w:val="en-US" w:eastAsia="zh-CN" w:bidi="ar-SA"/>
        </w:rPr>
        <w:t>能力。</w:t>
      </w:r>
    </w:p>
    <w:p w14:paraId="66775106">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（三）聚焦发展新质生产力，立足产业急需，深化新工科、新医科、新农科、新文科产教融合建设，校企协同培育产业新领域、新市场，推动大学生更高质量创业就业。</w:t>
      </w:r>
    </w:p>
    <w:p w14:paraId="2E13C81A">
      <w:pPr>
        <w:keepNext w:val="0"/>
        <w:keepLines w:val="0"/>
        <w:pageBreakBefore w:val="0"/>
        <w:widowControl w:val="0"/>
        <w:kinsoku/>
        <w:wordWrap/>
        <w:overflowPunct/>
        <w:topLinePunct/>
        <w:autoSpaceDE/>
        <w:autoSpaceDN/>
        <w:bidi w:val="0"/>
        <w:adjustRightInd w:val="0"/>
        <w:snapToGrid w:val="0"/>
        <w:spacing w:line="580" w:lineRule="exact"/>
        <w:ind w:left="0" w:leftChars="0" w:right="0" w:rightChars="0" w:firstLine="640" w:firstLineChars="200"/>
        <w:jc w:val="both"/>
        <w:textAlignment w:val="baseline"/>
        <w:outlineLvl w:val="9"/>
        <w:rPr>
          <w:rFonts w:hint="eastAsia" w:ascii="Times New Roman" w:hAnsi="Times New Roman" w:eastAsia="黑体" w:cs="Times New Roman"/>
          <w:b w:val="0"/>
          <w:bCs w:val="0"/>
          <w:spacing w:val="0"/>
          <w:kern w:val="2"/>
          <w:sz w:val="32"/>
          <w:szCs w:val="32"/>
          <w:highlight w:val="none"/>
          <w:lang w:val="en-US" w:eastAsia="zh-CN" w:bidi="ar-SA"/>
        </w:rPr>
      </w:pPr>
      <w:r>
        <w:rPr>
          <w:rFonts w:ascii="Times New Roman" w:hAnsi="Times New Roman" w:eastAsia="黑体" w:cs="Times New Roman"/>
          <w:b w:val="0"/>
          <w:bCs w:val="0"/>
          <w:spacing w:val="0"/>
          <w:kern w:val="2"/>
          <w:sz w:val="32"/>
          <w:szCs w:val="32"/>
          <w:highlight w:val="none"/>
          <w:lang w:val="en-US" w:eastAsia="en-US" w:bidi="ar-SA"/>
        </w:rPr>
        <w:t>二、参赛</w:t>
      </w:r>
      <w:r>
        <w:rPr>
          <w:rFonts w:hint="eastAsia" w:ascii="Times New Roman" w:hAnsi="Times New Roman" w:eastAsia="黑体" w:cs="Times New Roman"/>
          <w:b w:val="0"/>
          <w:bCs w:val="0"/>
          <w:spacing w:val="0"/>
          <w:kern w:val="2"/>
          <w:sz w:val="32"/>
          <w:szCs w:val="32"/>
          <w:highlight w:val="none"/>
          <w:lang w:val="en-US" w:eastAsia="zh-CN" w:bidi="ar-SA"/>
        </w:rPr>
        <w:t>命题</w:t>
      </w:r>
    </w:p>
    <w:p w14:paraId="386E62D3">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基于大模型技术的政策知识库智能应用开发、基于大模型技术的工业时序数据分析与预测决策智能体应用开发、基于大模型技术的智慧物流调度智能体应用开发、基于大模型技术的工业设备智能巡检与安全预警智能体应用开发、基于大模型技术的智慧银行理财顾问智能体开发、基于大模型技术的智慧保险理赔与服务智能体开发、基于大模型技术的智慧文旅导览与沉浸式体验智能体应用开发、基于大模型技术的教学助手智能体应用开发、基于大模型技术的银发守护智能体应用开发、基于大模型技术的云盘智能体应用开发、基于大模型技术的跨学科多智能体协同学习系统、基于大模型技术的企业级安全智能办公助手开发、基于智能视觉分析的智能体应用开发、基于大模型技术的口腔医院智能体应用开发、基于大模型技术的图片隐患识别智能体应用开发、基于大模型技术的渔船证业不符的视觉研判应用开发、基于通用智能体的智能旅游助手开发、基于通用智能体的AI科研智能体应用开发</w:t>
      </w:r>
      <w:r>
        <w:rPr>
          <w:rFonts w:hint="eastAsia" w:ascii="Times New Roman" w:hAnsi="Times New Roman" w:eastAsia="仿宋_GB2312" w:cs="Times New Roman"/>
          <w:spacing w:val="0"/>
          <w:kern w:val="2"/>
          <w:sz w:val="32"/>
          <w:szCs w:val="32"/>
          <w:highlight w:val="none"/>
          <w:lang w:val="en-US" w:eastAsia="zh-CN" w:bidi="ar-SA"/>
        </w:rPr>
        <w:t>。</w:t>
      </w:r>
    </w:p>
    <w:p w14:paraId="128A299E">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eastAsia="黑体" w:cs="Times New Roman"/>
          <w:b w:val="0"/>
          <w:bCs w:val="0"/>
          <w:spacing w:val="0"/>
          <w:sz w:val="32"/>
          <w:szCs w:val="32"/>
          <w:highlight w:val="none"/>
          <w:lang w:eastAsia="en-US"/>
        </w:rPr>
      </w:pPr>
      <w:r>
        <w:rPr>
          <w:rFonts w:hint="default" w:ascii="Times New Roman" w:hAnsi="Times New Roman" w:eastAsia="黑体" w:cs="Times New Roman"/>
          <w:b w:val="0"/>
          <w:bCs w:val="0"/>
          <w:spacing w:val="0"/>
          <w:sz w:val="32"/>
          <w:szCs w:val="32"/>
          <w:highlight w:val="none"/>
          <w:lang w:val="en-US" w:eastAsia="zh-CN"/>
        </w:rPr>
        <w:t>三</w:t>
      </w:r>
      <w:r>
        <w:rPr>
          <w:rFonts w:ascii="Times New Roman" w:hAnsi="Times New Roman" w:eastAsia="黑体" w:cs="Times New Roman"/>
          <w:b w:val="0"/>
          <w:bCs w:val="0"/>
          <w:spacing w:val="0"/>
          <w:sz w:val="32"/>
          <w:szCs w:val="32"/>
          <w:highlight w:val="none"/>
          <w:lang w:eastAsia="en-US"/>
        </w:rPr>
        <w:t>、参赛要求</w:t>
      </w:r>
    </w:p>
    <w:p w14:paraId="109A1B04">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（一）本赛道以团队为单位报名参赛，每支参赛团队只能选择一题参加比赛，允许跨校组建、师生共同组建参赛团队，每个团队的成员不少于3人，不多于15人</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含团队负责人</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，须为揭榜答题的实际核心成员。</w:t>
      </w:r>
    </w:p>
    <w:p w14:paraId="51E538B9">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（二）项目负责人须为普通高等学校全日制在校生</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包括本专科生、研究生，不含在职教育</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，或毕业5年以内的全日制学生</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即202</w:t>
      </w:r>
      <w:r>
        <w:rPr>
          <w:rFonts w:hint="eastAsia" w:ascii="Times New Roman" w:hAnsi="Times New Roman" w:eastAsia="仿宋_GB2312" w:cs="Times New Roman"/>
          <w:spacing w:val="0"/>
          <w:kern w:val="2"/>
          <w:sz w:val="32"/>
          <w:szCs w:val="32"/>
          <w:highlight w:val="none"/>
          <w:lang w:val="en-US" w:eastAsia="zh-CN" w:bidi="ar-SA"/>
        </w:rPr>
        <w:t>1</w:t>
      </w:r>
      <w:r>
        <w:rPr>
          <w:rFonts w:hint="default" w:ascii="Times New Roman" w:hAnsi="Times New Roman" w:eastAsia="仿宋_GB2312" w:cs="Times New Roman"/>
          <w:spacing w:val="0"/>
          <w:kern w:val="2"/>
          <w:sz w:val="32"/>
          <w:szCs w:val="32"/>
          <w:highlight w:val="none"/>
          <w:lang w:val="en-US" w:eastAsia="zh-CN" w:bidi="ar-SA"/>
        </w:rPr>
        <w:t>年之后毕业的本专科生、研究生，不含在职教育</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。项目</w:t>
      </w:r>
      <w:r>
        <w:rPr>
          <w:rFonts w:hint="eastAsia" w:ascii="Times New Roman" w:hAnsi="Times New Roman" w:eastAsia="仿宋_GB2312" w:cs="Times New Roman"/>
          <w:spacing w:val="0"/>
          <w:kern w:val="2"/>
          <w:sz w:val="32"/>
          <w:szCs w:val="32"/>
          <w:highlight w:val="none"/>
          <w:lang w:val="en-US" w:eastAsia="zh-CN" w:bidi="ar-SA"/>
        </w:rPr>
        <w:t>指导</w:t>
      </w:r>
      <w:r>
        <w:rPr>
          <w:rFonts w:hint="default" w:ascii="Times New Roman" w:hAnsi="Times New Roman" w:eastAsia="仿宋_GB2312" w:cs="Times New Roman"/>
          <w:spacing w:val="0"/>
          <w:kern w:val="2"/>
          <w:sz w:val="32"/>
          <w:szCs w:val="32"/>
          <w:highlight w:val="none"/>
          <w:lang w:val="en-US" w:eastAsia="zh-CN" w:bidi="ar-SA"/>
        </w:rPr>
        <w:t>教师须为高校教师</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202</w:t>
      </w:r>
      <w:r>
        <w:rPr>
          <w:rFonts w:hint="eastAsia" w:ascii="Times New Roman" w:hAnsi="Times New Roman" w:eastAsia="仿宋_GB2312" w:cs="Times New Roman"/>
          <w:spacing w:val="0"/>
          <w:kern w:val="2"/>
          <w:sz w:val="32"/>
          <w:szCs w:val="32"/>
          <w:highlight w:val="none"/>
          <w:lang w:val="en-US" w:eastAsia="zh-CN" w:bidi="ar-SA"/>
        </w:rPr>
        <w:t>6</w:t>
      </w:r>
      <w:r>
        <w:rPr>
          <w:rFonts w:hint="default" w:ascii="Times New Roman" w:hAnsi="Times New Roman" w:eastAsia="仿宋_GB2312" w:cs="Times New Roman"/>
          <w:spacing w:val="0"/>
          <w:kern w:val="2"/>
          <w:sz w:val="32"/>
          <w:szCs w:val="32"/>
          <w:highlight w:val="none"/>
          <w:lang w:val="en-US" w:eastAsia="zh-CN" w:bidi="ar-SA"/>
        </w:rPr>
        <w:t>年7月15日前正式入职</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w:t>
      </w:r>
    </w:p>
    <w:p w14:paraId="69909538">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（三）参赛团队所提交的命题对策须符合所答企业命题要求，命题企业将对命题对策进行契合度审核评价。参赛团队须对提交的应答材料拥有自主知识产权，不得侵犯他人知识产权或物权。</w:t>
      </w:r>
    </w:p>
    <w:p w14:paraId="3F527B68">
      <w:pPr>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四</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成果转化组</w:t>
      </w:r>
      <w:r>
        <w:rPr>
          <w:rFonts w:hint="eastAsia" w:ascii="Times New Roman" w:hAnsi="Times New Roman" w:eastAsia="仿宋_GB2312" w:cs="Times New Roman"/>
          <w:spacing w:val="0"/>
          <w:kern w:val="2"/>
          <w:sz w:val="32"/>
          <w:szCs w:val="32"/>
          <w:highlight w:val="none"/>
          <w:lang w:val="en-US" w:eastAsia="zh-CN" w:bidi="ar-SA"/>
        </w:rPr>
        <w:t>参赛项目</w:t>
      </w:r>
      <w:r>
        <w:rPr>
          <w:rFonts w:hint="default" w:ascii="Times New Roman" w:hAnsi="Times New Roman" w:eastAsia="仿宋_GB2312" w:cs="Times New Roman"/>
          <w:spacing w:val="0"/>
          <w:kern w:val="2"/>
          <w:sz w:val="32"/>
          <w:szCs w:val="32"/>
          <w:highlight w:val="none"/>
          <w:lang w:val="en-US" w:eastAsia="zh-CN" w:bidi="ar-SA"/>
        </w:rPr>
        <w:t>如已注册成立公司，公司注册年限不得超过5年</w:t>
      </w:r>
      <w:r>
        <w:rPr>
          <w:rFonts w:hint="eastAsia" w:ascii="Times New Roman" w:hAnsi="Times New Roman" w:eastAsia="仿宋_GB2312" w:cs="Times New Roman"/>
          <w:spacing w:val="0"/>
          <w:kern w:val="2"/>
          <w:sz w:val="32"/>
          <w:szCs w:val="32"/>
          <w:highlight w:val="none"/>
          <w:lang w:val="en-US" w:eastAsia="zh-CN" w:bidi="ar-SA"/>
        </w:rPr>
        <w:t>（</w:t>
      </w:r>
      <w:r>
        <w:rPr>
          <w:rFonts w:hint="default" w:ascii="Times New Roman" w:hAnsi="Times New Roman" w:eastAsia="仿宋_GB2312" w:cs="Times New Roman"/>
          <w:spacing w:val="0"/>
          <w:kern w:val="2"/>
          <w:sz w:val="32"/>
          <w:szCs w:val="32"/>
          <w:highlight w:val="none"/>
          <w:lang w:val="en-US" w:eastAsia="zh-CN" w:bidi="ar-SA"/>
        </w:rPr>
        <w:t>202</w:t>
      </w:r>
      <w:r>
        <w:rPr>
          <w:rFonts w:hint="eastAsia" w:ascii="Times New Roman" w:hAnsi="Times New Roman" w:eastAsia="仿宋_GB2312" w:cs="Times New Roman"/>
          <w:spacing w:val="0"/>
          <w:kern w:val="2"/>
          <w:sz w:val="32"/>
          <w:szCs w:val="32"/>
          <w:highlight w:val="none"/>
          <w:lang w:val="en-US" w:eastAsia="zh-CN" w:bidi="ar-SA"/>
        </w:rPr>
        <w:t>1</w:t>
      </w:r>
      <w:r>
        <w:rPr>
          <w:rFonts w:hint="default" w:ascii="Times New Roman" w:hAnsi="Times New Roman" w:eastAsia="仿宋_GB2312" w:cs="Times New Roman"/>
          <w:spacing w:val="0"/>
          <w:kern w:val="2"/>
          <w:sz w:val="32"/>
          <w:szCs w:val="32"/>
          <w:highlight w:val="none"/>
          <w:lang w:val="en-US" w:eastAsia="zh-CN" w:bidi="ar-SA"/>
        </w:rPr>
        <w:t>年3月1日后注册</w:t>
      </w:r>
      <w:r>
        <w:rPr>
          <w:rFonts w:hint="eastAsia" w:ascii="Times New Roman" w:hAnsi="Times New Roman" w:eastAsia="仿宋_GB2312" w:cs="Times New Roman"/>
          <w:spacing w:val="0"/>
          <w:kern w:val="2"/>
          <w:sz w:val="32"/>
          <w:szCs w:val="32"/>
          <w:highlight w:val="none"/>
          <w:lang w:val="en-US" w:eastAsia="zh-CN" w:bidi="ar-SA"/>
        </w:rPr>
        <w:t>），指导教师和项目成员</w:t>
      </w:r>
      <w:r>
        <w:rPr>
          <w:rFonts w:hint="default" w:ascii="Times New Roman" w:hAnsi="Times New Roman" w:eastAsia="仿宋_GB2312" w:cs="Times New Roman"/>
          <w:spacing w:val="0"/>
          <w:kern w:val="2"/>
          <w:sz w:val="32"/>
          <w:szCs w:val="32"/>
          <w:highlight w:val="none"/>
          <w:lang w:val="en-US" w:eastAsia="zh-CN" w:bidi="ar-SA"/>
        </w:rPr>
        <w:t>均可为公司法人代表。企业法人代表在大赛通知发布之日后进行变更的不予认可。股权结构中，师生股权合并计算不低于51%，且学生参赛成员合计股份不低于10%。</w:t>
      </w:r>
    </w:p>
    <w:p w14:paraId="4A83E338">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0"/>
        <w:rPr>
          <w:rFonts w:hint="default" w:ascii="Times New Roman" w:hAnsi="Times New Roman" w:eastAsia="黑体" w:cs="Times New Roman"/>
          <w:spacing w:val="0"/>
          <w:kern w:val="2"/>
          <w:sz w:val="32"/>
          <w:szCs w:val="32"/>
          <w:highlight w:val="none"/>
          <w:lang w:val="en-US" w:eastAsia="zh-CN" w:bidi="ar-SA"/>
        </w:rPr>
      </w:pPr>
    </w:p>
    <w:p w14:paraId="34AAA8F7">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0"/>
        <w:rPr>
          <w:rFonts w:hint="default" w:ascii="Times New Roman" w:hAnsi="Times New Roman" w:eastAsia="仿宋_GB2312" w:cs="Times New Roman"/>
          <w:spacing w:val="0"/>
          <w:kern w:val="2"/>
          <w:sz w:val="32"/>
          <w:szCs w:val="32"/>
          <w:highlight w:val="none"/>
          <w:lang w:val="en-US" w:eastAsia="zh-CN" w:bidi="ar-SA"/>
        </w:rPr>
      </w:pPr>
      <w:r>
        <w:rPr>
          <w:rFonts w:hint="default" w:ascii="Times New Roman" w:hAnsi="Times New Roman" w:eastAsia="仿宋_GB2312" w:cs="Times New Roman"/>
          <w:spacing w:val="0"/>
          <w:kern w:val="2"/>
          <w:sz w:val="32"/>
          <w:szCs w:val="32"/>
          <w:highlight w:val="none"/>
          <w:lang w:val="en-US" w:eastAsia="zh-CN" w:bidi="ar-SA"/>
        </w:rPr>
        <w:t>附：参赛命题说明</w:t>
      </w:r>
    </w:p>
    <w:p w14:paraId="7C2138CD">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0"/>
        <w:rPr>
          <w:rFonts w:hint="default" w:ascii="Times New Roman" w:hAnsi="Times New Roman" w:eastAsia="黑体" w:cs="Times New Roman"/>
          <w:spacing w:val="0"/>
          <w:kern w:val="2"/>
          <w:sz w:val="32"/>
          <w:szCs w:val="32"/>
          <w:highlight w:val="none"/>
          <w:lang w:val="en-US" w:eastAsia="zh-CN" w:bidi="ar-SA"/>
        </w:rPr>
      </w:pPr>
    </w:p>
    <w:p w14:paraId="7A850539">
      <w:pPr>
        <w:overflowPunct w:val="0"/>
        <w:topLinePunct/>
        <w:spacing w:line="580" w:lineRule="exact"/>
        <w:ind w:firstLine="643" w:firstLineChars="200"/>
        <w:rPr>
          <w:rFonts w:hint="eastAsia" w:ascii="Times New Roman" w:hAnsi="Times New Roman" w:eastAsia="仿宋_GB2312" w:cs="Times New Roman"/>
          <w:b/>
          <w:bCs/>
          <w:spacing w:val="0"/>
          <w:sz w:val="32"/>
          <w:szCs w:val="32"/>
          <w:lang w:val="en-US" w:eastAsia="zh-CN"/>
        </w:rPr>
      </w:pPr>
      <w:r>
        <w:rPr>
          <w:rFonts w:hint="eastAsia" w:ascii="Times New Roman" w:hAnsi="Times New Roman" w:eastAsia="仿宋_GB2312" w:cs="Times New Roman"/>
          <w:b/>
          <w:bCs/>
          <w:spacing w:val="0"/>
          <w:sz w:val="32"/>
          <w:szCs w:val="32"/>
          <w:lang w:val="en-US" w:eastAsia="zh-CN"/>
        </w:rPr>
        <w:br w:type="page"/>
      </w:r>
    </w:p>
    <w:p w14:paraId="1F086EDB">
      <w:pPr>
        <w:overflowPunct w:val="0"/>
        <w:topLinePunct/>
        <w:spacing w:line="580" w:lineRule="exact"/>
        <w:rPr>
          <w:rFonts w:hint="eastAsia" w:ascii="Times New Roman" w:hAnsi="Times New Roman" w:eastAsia="黑体" w:cs="黑体"/>
          <w:b w:val="0"/>
          <w:bCs w:val="0"/>
          <w:spacing w:val="0"/>
          <w:sz w:val="32"/>
          <w:szCs w:val="32"/>
          <w:lang w:val="en-US" w:eastAsia="zh-CN"/>
        </w:rPr>
      </w:pPr>
      <w:r>
        <w:rPr>
          <w:rFonts w:hint="eastAsia" w:ascii="Times New Roman" w:hAnsi="Times New Roman" w:eastAsia="黑体" w:cs="黑体"/>
          <w:b w:val="0"/>
          <w:bCs w:val="0"/>
          <w:spacing w:val="0"/>
          <w:sz w:val="32"/>
          <w:szCs w:val="32"/>
          <w:lang w:val="en-US" w:eastAsia="zh-CN"/>
        </w:rPr>
        <w:t>附</w:t>
      </w:r>
    </w:p>
    <w:p w14:paraId="06BDEE1F">
      <w:pPr>
        <w:keepNext w:val="0"/>
        <w:keepLines w:val="0"/>
        <w:pageBreakBefore w:val="0"/>
        <w:widowControl w:val="0"/>
        <w:kinsoku/>
        <w:wordWrap/>
        <w:overflowPunct/>
        <w:topLinePunct w:val="0"/>
        <w:autoSpaceDE/>
        <w:autoSpaceDN/>
        <w:bidi w:val="0"/>
        <w:adjustRightInd w:val="0"/>
        <w:snapToGrid w:val="0"/>
        <w:spacing w:line="580" w:lineRule="exact"/>
        <w:ind w:right="0" w:rightChars="0" w:firstLine="880" w:firstLineChars="200"/>
        <w:jc w:val="left"/>
        <w:outlineLvl w:val="9"/>
        <w:rPr>
          <w:rFonts w:hint="default" w:ascii="Times New Roman" w:hAnsi="Times New Roman" w:eastAsia="Arial Unicode MS" w:cs="Times New Roman"/>
          <w:spacing w:val="0"/>
          <w:sz w:val="44"/>
          <w:szCs w:val="44"/>
          <w:highlight w:val="none"/>
          <w:lang w:val="en-US" w:eastAsia="zh-CN"/>
        </w:rPr>
      </w:pPr>
    </w:p>
    <w:p w14:paraId="22DECD06">
      <w:pPr>
        <w:overflowPunct w:val="0"/>
        <w:topLinePunct/>
        <w:spacing w:line="580" w:lineRule="exact"/>
        <w:ind w:firstLine="880" w:firstLineChars="200"/>
        <w:jc w:val="center"/>
        <w:rPr>
          <w:rFonts w:hint="default" w:ascii="Times New Roman" w:hAnsi="Times New Roman" w:eastAsia="仿宋_GB2312" w:cs="Times New Roman"/>
          <w:b/>
          <w:bCs/>
          <w:spacing w:val="0"/>
          <w:sz w:val="32"/>
          <w:szCs w:val="32"/>
          <w:lang w:val="en-US" w:eastAsia="zh-CN"/>
        </w:rPr>
      </w:pPr>
      <w:r>
        <w:rPr>
          <w:rFonts w:hint="eastAsia" w:ascii="Times New Roman" w:hAnsi="Times New Roman" w:eastAsia="Arial Unicode MS" w:cs="Times New Roman"/>
          <w:spacing w:val="0"/>
          <w:sz w:val="44"/>
          <w:szCs w:val="44"/>
          <w:highlight w:val="none"/>
          <w:lang w:val="en-US" w:eastAsia="zh-CN"/>
        </w:rPr>
        <w:t>参赛命题说明</w:t>
      </w:r>
    </w:p>
    <w:p w14:paraId="704EE076">
      <w:pPr>
        <w:overflowPunct w:val="0"/>
        <w:topLinePunct/>
        <w:spacing w:line="580" w:lineRule="exact"/>
        <w:ind w:firstLine="643" w:firstLineChars="200"/>
        <w:rPr>
          <w:rFonts w:hint="eastAsia" w:ascii="Times New Roman" w:hAnsi="Times New Roman" w:eastAsia="仿宋_GB2312" w:cs="Times New Roman"/>
          <w:b/>
          <w:bCs/>
          <w:spacing w:val="0"/>
          <w:sz w:val="32"/>
          <w:szCs w:val="32"/>
          <w:lang w:val="en-US" w:eastAsia="zh-CN"/>
        </w:rPr>
      </w:pPr>
    </w:p>
    <w:p w14:paraId="2C2AC7EC">
      <w:pPr>
        <w:overflowPunct w:val="0"/>
        <w:topLinePunct/>
        <w:spacing w:line="580" w:lineRule="exact"/>
        <w:ind w:firstLine="640" w:firstLineChars="200"/>
        <w:rPr>
          <w:rFonts w:hint="default" w:ascii="Times New Roman" w:hAnsi="Times New Roman" w:eastAsia="黑体" w:cs="Times New Roman"/>
          <w:b w:val="0"/>
          <w:bCs w:val="0"/>
          <w:spacing w:val="0"/>
          <w:sz w:val="32"/>
          <w:szCs w:val="32"/>
          <w:highlight w:val="none"/>
          <w:lang w:val="en-US" w:eastAsia="zh-CN"/>
        </w:rPr>
      </w:pPr>
      <w:r>
        <w:rPr>
          <w:rFonts w:hint="default" w:ascii="Times New Roman" w:hAnsi="Times New Roman" w:eastAsia="黑体" w:cs="Times New Roman"/>
          <w:b w:val="0"/>
          <w:bCs w:val="0"/>
          <w:spacing w:val="0"/>
          <w:sz w:val="32"/>
          <w:szCs w:val="32"/>
          <w:highlight w:val="none"/>
          <w:lang w:val="en-US" w:eastAsia="zh-CN"/>
        </w:rPr>
        <w:t>一、命题企业</w:t>
      </w:r>
    </w:p>
    <w:p w14:paraId="4DCBC81C">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0"/>
        <w:rPr>
          <w:rFonts w:hint="default" w:ascii="Times New Roman" w:hAnsi="Times New Roman" w:eastAsia="仿宋_GB2312" w:cs="Times New Roman"/>
          <w:color w:val="000000"/>
          <w:spacing w:val="0"/>
          <w:kern w:val="2"/>
          <w:sz w:val="32"/>
          <w:szCs w:val="32"/>
          <w:highlight w:val="none"/>
          <w:lang w:val="en-US" w:eastAsia="zh-CN" w:bidi="ar-SA"/>
        </w:rPr>
      </w:pPr>
      <w:r>
        <w:rPr>
          <w:rFonts w:hint="default" w:ascii="Times New Roman" w:hAnsi="Times New Roman" w:eastAsia="仿宋_GB2312" w:cs="Times New Roman"/>
          <w:color w:val="000000"/>
          <w:spacing w:val="0"/>
          <w:kern w:val="2"/>
          <w:sz w:val="32"/>
          <w:szCs w:val="32"/>
          <w:highlight w:val="none"/>
          <w:lang w:val="en-US" w:eastAsia="zh-CN" w:bidi="ar-SA"/>
        </w:rPr>
        <w:t>中国联合网络通信有限公司浙江省分公司</w:t>
      </w:r>
    </w:p>
    <w:p w14:paraId="77A6B6C8">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0"/>
        <w:rPr>
          <w:rFonts w:hint="default" w:ascii="Times New Roman" w:hAnsi="Times New Roman" w:eastAsia="黑体" w:cs="Times New Roman"/>
          <w:spacing w:val="0"/>
          <w:kern w:val="2"/>
          <w:sz w:val="32"/>
          <w:szCs w:val="32"/>
          <w:highlight w:val="none"/>
          <w:lang w:val="en-US" w:eastAsia="zh-CN" w:bidi="ar-SA"/>
        </w:rPr>
      </w:pPr>
      <w:r>
        <w:rPr>
          <w:rFonts w:hint="default" w:ascii="Times New Roman" w:hAnsi="Times New Roman" w:eastAsia="黑体" w:cs="Times New Roman"/>
          <w:spacing w:val="0"/>
          <w:kern w:val="2"/>
          <w:sz w:val="32"/>
          <w:szCs w:val="32"/>
          <w:highlight w:val="none"/>
          <w:lang w:val="en-US" w:eastAsia="zh-CN" w:bidi="ar-SA"/>
        </w:rPr>
        <w:t>二、企业介绍</w:t>
      </w:r>
    </w:p>
    <w:p w14:paraId="2F5678EC">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9"/>
        <w:rPr>
          <w:rFonts w:hint="default" w:ascii="Times New Roman" w:hAnsi="Times New Roman" w:eastAsia="仿宋_GB2312" w:cs="Times New Roman"/>
          <w:color w:val="000000"/>
          <w:spacing w:val="0"/>
          <w:kern w:val="2"/>
          <w:sz w:val="32"/>
          <w:szCs w:val="32"/>
          <w:highlight w:val="none"/>
          <w:lang w:val="en-US" w:eastAsia="en-US" w:bidi="ar-SA"/>
        </w:rPr>
      </w:pPr>
      <w:r>
        <w:rPr>
          <w:rFonts w:hint="default" w:ascii="Times New Roman" w:hAnsi="Times New Roman" w:eastAsia="仿宋_GB2312" w:cs="Times New Roman"/>
          <w:color w:val="000000"/>
          <w:spacing w:val="0"/>
          <w:kern w:val="2"/>
          <w:sz w:val="32"/>
          <w:szCs w:val="32"/>
          <w:highlight w:val="none"/>
          <w:lang w:val="en-US" w:eastAsia="en-US" w:bidi="ar-SA"/>
        </w:rPr>
        <w:t>中国联合网络通信集团有限公司（简称</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中国联通</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在国内31个省（自治区、直辖市）和境外多个国家和地区设有分支机构，拥有覆盖全国、通达世界的现代通信网络和全球客户服务体系，在2025年《财富》世界500强中位列第269位。作为支撑党政军系统、各行各业、广大人民群众的基础通信企业，中国联通在国民经济中具有基础性、支柱性、战略性、先导性的基本功能与地位作用，具有技术密集、全程全网、规模经济、服务经济社会与民生的特征与属性。中国联通切实履行政治责任、经济责任、社会责任，坚持党的领导、坚持守正创新、坚持主责主业，以</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守正创新、行稳致远</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为公司</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十五五</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时期发展主基调，以</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连接</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算力</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服务</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安全</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为履行央企责任的核心赛道，从</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基础管道提供商</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向</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数字化综合服务商</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转变，担当</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信息通信事业国家队、主力军</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，充分发挥科技创新、产业控制、安全支撑作用。</w:t>
      </w:r>
    </w:p>
    <w:p w14:paraId="47708AFC">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9"/>
        <w:rPr>
          <w:rFonts w:hint="default" w:ascii="Times New Roman" w:hAnsi="Times New Roman" w:eastAsia="仿宋_GB2312" w:cs="Times New Roman"/>
          <w:color w:val="000000"/>
          <w:spacing w:val="0"/>
          <w:kern w:val="2"/>
          <w:sz w:val="32"/>
          <w:szCs w:val="32"/>
          <w:highlight w:val="none"/>
          <w:lang w:val="en-US" w:eastAsia="en-US" w:bidi="ar-SA"/>
        </w:rPr>
      </w:pPr>
      <w:r>
        <w:rPr>
          <w:rFonts w:hint="default" w:ascii="Times New Roman" w:hAnsi="Times New Roman" w:eastAsia="仿宋_GB2312" w:cs="Times New Roman"/>
          <w:color w:val="000000"/>
          <w:spacing w:val="0"/>
          <w:kern w:val="2"/>
          <w:sz w:val="32"/>
          <w:szCs w:val="32"/>
          <w:highlight w:val="none"/>
          <w:lang w:val="en-US" w:eastAsia="en-US" w:bidi="ar-SA"/>
        </w:rPr>
        <w:t>中国联合网络通信有限公司浙江省分公司（简称</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浙江联通</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是中国联合网络通信有限公司在浙江的分支机构，浙江联通坚持扎根网信事业，践行央企使命，全面增强核心功能、提高核心竞争力，更好服务网络强国和数字中国建设、保障国家网络和信息安全，担当数字信息运营服务国家队和数字技术融合创新排头兵，充分发挥科技创新、产业控制、安全支撑三大功能，为创新浙江建设贡献联通力量。</w:t>
      </w:r>
    </w:p>
    <w:p w14:paraId="0F61374F">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9"/>
        <w:rPr>
          <w:rFonts w:hint="default" w:ascii="Times New Roman" w:hAnsi="Times New Roman" w:eastAsia="黑体" w:cs="Times New Roman"/>
          <w:spacing w:val="0"/>
          <w:kern w:val="2"/>
          <w:sz w:val="32"/>
          <w:szCs w:val="32"/>
          <w:highlight w:val="none"/>
          <w:lang w:val="en-US" w:eastAsia="en-US" w:bidi="ar-SA"/>
        </w:rPr>
      </w:pPr>
      <w:r>
        <w:rPr>
          <w:rFonts w:hint="default" w:ascii="Times New Roman" w:hAnsi="Times New Roman" w:eastAsia="仿宋_GB2312" w:cs="Times New Roman"/>
          <w:color w:val="000000"/>
          <w:spacing w:val="0"/>
          <w:kern w:val="2"/>
          <w:sz w:val="32"/>
          <w:szCs w:val="32"/>
          <w:highlight w:val="none"/>
          <w:lang w:val="en-US" w:eastAsia="en-US" w:bidi="ar-SA"/>
        </w:rPr>
        <w:t>联通数据智能有限公司（简称</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联通数智</w:t>
      </w:r>
      <w:r>
        <w:rPr>
          <w:rFonts w:hint="eastAsia" w:ascii="Times New Roman" w:hAnsi="Times New Roman" w:eastAsia="仿宋_GB2312" w:cs="Times New Roman"/>
          <w:color w:val="000000"/>
          <w:spacing w:val="0"/>
          <w:kern w:val="2"/>
          <w:sz w:val="32"/>
          <w:szCs w:val="32"/>
          <w:highlight w:val="none"/>
          <w:lang w:val="en-US" w:eastAsia="zh-CN" w:bidi="ar-SA"/>
        </w:rPr>
        <w:t>”</w:t>
      </w:r>
      <w:r>
        <w:rPr>
          <w:rFonts w:hint="default" w:ascii="Times New Roman" w:hAnsi="Times New Roman" w:eastAsia="仿宋_GB2312" w:cs="Times New Roman"/>
          <w:color w:val="000000"/>
          <w:spacing w:val="0"/>
          <w:kern w:val="2"/>
          <w:sz w:val="32"/>
          <w:szCs w:val="32"/>
          <w:highlight w:val="none"/>
          <w:lang w:val="en-US" w:eastAsia="en-US" w:bidi="ar-SA"/>
        </w:rPr>
        <w:t>）成立于2024年9月25日，是中国联通的全资子公司，定位为中国联通大数据与人工智能基座能力与产品中心，旨在服务国家战略，紧密围绕产业布局，依托中国联通数智资源和能力，以数智融合对内赋能生产场景应用，对外提供数智产品和运营服务，致力于成为最懂数据的AI公司，实现以数智融合促进数实融合的使命担当。公司总部位于杭州，立足杭州，服务全国。</w:t>
      </w:r>
    </w:p>
    <w:p w14:paraId="29AA1A33">
      <w:pPr>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jc w:val="both"/>
        <w:outlineLvl w:val="0"/>
        <w:rPr>
          <w:rFonts w:ascii="Times New Roman" w:hAnsi="Times New Roman" w:eastAsia="黑体" w:cs="Times New Roman"/>
          <w:spacing w:val="0"/>
          <w:kern w:val="2"/>
          <w:sz w:val="32"/>
          <w:szCs w:val="32"/>
          <w:highlight w:val="none"/>
          <w:lang w:val="en-US" w:eastAsia="en-US" w:bidi="ar-SA"/>
        </w:rPr>
      </w:pPr>
      <w:r>
        <w:rPr>
          <w:rFonts w:hint="default" w:ascii="Times New Roman" w:hAnsi="Times New Roman" w:eastAsia="黑体" w:cs="Times New Roman"/>
          <w:spacing w:val="0"/>
          <w:kern w:val="2"/>
          <w:sz w:val="32"/>
          <w:szCs w:val="32"/>
          <w:highlight w:val="none"/>
          <w:lang w:val="en-US" w:eastAsia="zh-CN" w:bidi="ar-SA"/>
        </w:rPr>
        <w:t>三、</w:t>
      </w:r>
      <w:r>
        <w:rPr>
          <w:rFonts w:ascii="Times New Roman" w:hAnsi="Times New Roman" w:eastAsia="黑体" w:cs="Times New Roman"/>
          <w:spacing w:val="0"/>
          <w:kern w:val="2"/>
          <w:sz w:val="32"/>
          <w:szCs w:val="32"/>
          <w:highlight w:val="none"/>
          <w:lang w:val="en-US" w:eastAsia="en-US" w:bidi="ar-SA"/>
        </w:rPr>
        <w:t>命题说明</w:t>
      </w:r>
    </w:p>
    <w:p w14:paraId="2D9C140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（一）基于大模型技术的政策知识库智能应用开发</w:t>
      </w:r>
    </w:p>
    <w:p w14:paraId="4DF8BEC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当前各级政府部门在日常办公中面临政策法规体量庞大、层级关系复杂、更新迭代频繁等挑战。工作人员在撰写公文时需要准确引用政策依据，在制定新政策时需要排查与现行法规的冲突，在回应公众咨询时需要快速定位适用条款。传统的人工检索方式效率低、易遗漏，难以满足政务高效运转的需求。依托智能体开发平台的文本理解、检索增强、知识组织与工具调用能力，将政策法规文件拆解为可复用、可检索、可追溯的</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政策知识块</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，构建面向政策学习与应用的智能助手，提升政策获取和使用效率。</w:t>
      </w:r>
    </w:p>
    <w:p w14:paraId="6130E683">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政策法规场景的智能体应用，主要围绕以下功能构建：1、政策知识库构建与标签化管理：对政策法规文本进行结构化解析，建立涵盖效力层级、主题领域、适用范围、时效状态等维度的标签体系，支持多条件精准检索；2、政策依据智能检索与推荐：根据用户输入的工作场景或公文内容，自动匹配并推荐相关政策条款，提供引用建议；3、政策冲突检测：对拟定的新政策文本与现行法规进行自动比对，识别潜在的条款冲突或重复，并给出提示说明。</w:t>
      </w:r>
    </w:p>
    <w:p w14:paraId="49EA65C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能力及其他大模型技术，结合RAG检索增强等技术手段，构建政策法规智能体应用；2、应用需具备以下核心能力：政策知识块结构化处理、政策问答、依据定位与来源追溯，检索结果准确合理，冲突检测逻辑清晰；3、回答结果应尽量准确、清晰，能够标注对应政策文件名称、条款位置或原文片段，提升可核验性；4、鼓励结合多轮对话能力，支持用户通过补充条件逐步缩小政策适用范围；5、提交内容应包括作品简介、团队介绍、技术方案说明、作品demo视频展示、系统原型、配套代码等；6、需附模型调用日志，并说明政策知识块的构建方法、检索方法及准确性保障措施。</w:t>
      </w:r>
    </w:p>
    <w:p w14:paraId="32859DC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（二）基于大模型技术的工业时序数据分析与预测决策智能体应用开发</w:t>
      </w:r>
    </w:p>
    <w:p w14:paraId="001D393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在工业生产运行过程中，设备、产线和工艺环节会持续产生大量时序数据，包括温度、压力、电流、电压、振动、流量、能耗、产量等关键指标。这些数据能够较为全面地反映设备状态、工艺过程和生产运行情况，是支撑工业监测分析、风险预警和优化决策的重要基础。当前，面向工业时序数据的分析与AI预测技术不断发展，在异常检测、趋势预测、状态识别等方面已形成较好的应用基础，但在实际场景中，仍普遍存在数据类型多样、处理链条较长、模型适配性要求高等问题，工业时序数据价值仍有待进一步挖掘。随着大模型与智能体技术的发展，基于大模型的智能体，可围绕工业时序数据分析任务，对数据处理、模型调用、结果分析等环节提供统一支撑，提升工业数据分析的效率与灵活性。</w:t>
      </w:r>
    </w:p>
    <w:p w14:paraId="7C5E1C9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工业场景的时序数据分析与预测决策智能体，重点实现以下功能：1、工业时序数据接入与自适应处理：支持对设备运行参数、工艺过程指标、能耗数据等多类工业时序数据进行接入、清洗、解析，并能够面向不同模型输入要求，自动完成数据对齐、特征构建、窗口生成、缺失处理、归一化等自适应数据处理，支撑多类型模型协同分析；2、异常检测与多模型交叉验证：对指标突变、波动异常、阈值越限等问题进行识别，支持智能体结合不同AI模型与统计模型开展交叉验证、结果比对与综合判断，并根据具体任务场景进行最优模型选择；3、趋势预测与风险预警：针对关键运行指标、设备健康状态、能耗水平、生产负荷等开展短期或中长期趋势预测，对潜在故障风险、工艺偏移风险和运行恶化趋势进行提前预警；4、优化建议：结合预测结果、历史经验和业务知识，自动生成参数调整建议、运行优化建议，辅助工业运行管理和生产决策。</w:t>
      </w:r>
    </w:p>
    <w:p w14:paraId="7F79353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相关大模型技术，调用工具链构建工业时序数据分析与预测决策智能体；2、智能体需覆盖数据接入、自适应处理、异常检测、多模型分析、趋势预测、风险预警等核心环节，交互清晰；3、作品提交内容需包括作品简介、团队介绍、技术方案文档、功能演示视频、系统原型。附模型调用日志。</w:t>
      </w:r>
    </w:p>
    <w:p w14:paraId="64D0D9C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（三）基于大模型技术的智慧物流调度智能体应用开发</w:t>
      </w:r>
    </w:p>
    <w:p w14:paraId="5C50B69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在数字经济与实体经济深度融合的背景下，当代物流行业面临多场景调度复杂、多节点协同效率低、路径规划不够精细、异常响应不及时等痛点。传统调度模式依赖人工经验，难以适配多节点、多运力、动态环境的精细化管理需求，亟需通过智能化手段提升整体运行效率。依托智能体开发平台的多模态理解、智能决策与工具调用能力，构建面向物流场景的智能体应用，能够实现调度流程智能化、资源配置最优化，助力智慧物流场景数智化升级。</w:t>
      </w:r>
    </w:p>
    <w:p w14:paraId="097EE80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智慧物流场景的调度智能体应用，围绕物流核心需求构建功能体系：1、智能路径规划：根据货物属性、运输距离、路况信息、时效要求等信息，自动生成最优运输路线与运力分配方案；2、异常事件处置：对运输延误、货物异常、天气突变、需求变更等场景进行实时识别，自动生成调度调整建议并形成简要处置记录；3、仓储协同调度：实现仓储入库、出库、分拣等环节信息互通，支持多节点协同调度与流程优化。</w:t>
      </w:r>
    </w:p>
    <w:p w14:paraId="4B8BB4D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相关大模型技术，构建面向物流场景的上层智能体应用，可合理集成物流相关开源数据接口与公开数据；2、智能体需具备路径规划、异常处置、仓配协同三大核心能力，逻辑清晰、规划合理、响应及时；3、作品提交内容需包括作品简介、团队介绍、技术方案文档、功能演示视频、系统原型，鼓励附模型调用日志、场景仿真数据等。</w:t>
      </w:r>
    </w:p>
    <w:p w14:paraId="4F4B334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（四）基于大模型技术的工业设备智能巡检与安全预警智能体应用开发</w:t>
      </w:r>
    </w:p>
    <w:p w14:paraId="3A6B292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在工业生产场景中，传统人工巡检存在巡检标准不统一、隐患发现不及时、数据记录不规范、故障预判能力不足等问题，容易造成生产中断与经济损失。随着工业数字化转型深入，以大模型为核心的智能体技术能够实现多源数据融合理解与状态智能判断，为巡检模式升级提供支撑。借助大模型的多模态感知、知识推理与预测分析能力，打造工业巡检智能体，可推动巡检工作从人工巡检向智能感知转变，提升工业生产安全保障与运维效率。</w:t>
      </w:r>
    </w:p>
    <w:p w14:paraId="70E4A5F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工业场景的设备智能巡检与安全预警智能体，重点实现以下功能：1、多模态智能巡检：支持图像、语音、设备运行数据等多源信息采集与识别，自动判断设备运行状态；2、故障隐患识别：对设备异常振动、温度超标、部件损耗、操作不规范等潜在隐患进行识别，并给出隐患等级提示；3、巡检记录与预警建议：自动生成标准化巡检记录，对高风险隐患实时提示并给出初步处置建议。</w:t>
      </w:r>
    </w:p>
    <w:p w14:paraId="02E7CF1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相关大模型技术，调用工具链构建工业巡检智能体，可集成工业设备相关开源API与数据集；2、智能体需覆盖巡检执行、隐患识别、安全预警、报告生成等核心环节，判断合理、交互清晰、实用性强；3、作品提交内容需包括作品简介、团队介绍、技术方案文档、功能演示视频、系统原型，鼓励提供典型工业场景应用案例。</w:t>
      </w:r>
    </w:p>
    <w:p w14:paraId="70FC170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（五）基于大模型技术的智慧银行理财顾问智能体开发</w:t>
      </w:r>
    </w:p>
    <w:p w14:paraId="499DD92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当前，银行零售业务面临客户需求日益个性化、理财产品复杂化以及服务渠道线上化的挑战。传统手机银行APP在资产配置建议、复杂产品解释、适老化服务及情感化交互等方面存在不足。基于智能体开发平台的能力（如RAG检索增强、多模态交互、工具调用等），结合银行业务场景的痛点，亟需通过技术创新构建适配不同客群（如银发族、Z世代）的智能理财顾问，推动银行服务从</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交易型</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向</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顾问型</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智能化升级。</w:t>
      </w:r>
    </w:p>
    <w:p w14:paraId="2451D62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银行理财顾问智能体，主要围绕以下内容构建：1、个性化资产配置建议：根据客户的风险偏好、资产状况及市场波动，生成千人千面的理财组合建议及市场解读；2、合规营销与意图识别：通过大模型精准识别客户潜在需求，在合规前提下生成营销话术，并能实时调用行内工具查询账户信息或办理基础业务。</w:t>
      </w:r>
    </w:p>
    <w:p w14:paraId="78579F7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上层智能体应用；2、理财建议需符合金融合规要求（无误导性信息），多模态交互流畅且精准，具备处理复杂金融咨询的能力；3、作品提交内容需包括作品简介、团队介绍、技术方案文档及功能演示视频、系统原型。需附模型调用日志。</w:t>
      </w:r>
    </w:p>
    <w:p w14:paraId="1835307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（六）基于大模型技术的智慧保险理赔与服务智能体开发</w:t>
      </w:r>
    </w:p>
    <w:p w14:paraId="2F96F1E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当前，保险行业在理赔环节常面临流程繁琐、定损定责周期长、条款晦涩难懂等问题，导致客户体验不佳。传统客服系统多基于关键词匹配，难以处理复杂的非结构化理赔材料（如医疗单据、事故现场图）。基于智能体开发平台的能力（如RAG检索增强、多模态交互、工具调用等），结合保险服务场景的痛点，亟需构建具备</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有温度</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的交互能力和专业定损辅助能力的智能体，推动保险理赔服务的智能化与高效化。</w:t>
      </w:r>
    </w:p>
    <w:p w14:paraId="7A80939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开发保险理赔与服务智能体，主要围绕以下内容构建：1、智能条款解读与核保辅助：针对晦涩的保险条款，利用大模型生成通俗易懂的解释，并根据用户描述推荐适配的保险产品；2、多模态理赔交互：支持用户上传事故现场照片、医疗发票等多模态数据，智能体通过视觉能力自动识别并预审材料完整性，生成理赔进度报告；3、情感化陪伴与安抚：在理赔咨询中识别用户焦虑情绪，生成具有共情能力的回复，并提供实时的理赔指引。</w:t>
      </w:r>
    </w:p>
    <w:p w14:paraId="187C142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上层智能体应用；2、条款解读准确无误、多模态材料识别流畅且精准，具备情感识别与安抚能力；3、作品提交内容需包括作品简介、团队介绍、技术方案文档及功能演示视频、系统原型。需附模型调用日志。</w:t>
      </w:r>
    </w:p>
    <w:p w14:paraId="2002E2C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w:t>
      </w:r>
      <w:r>
        <w:rPr>
          <w:rFonts w:hint="eastAsia" w:ascii="Times New Roman" w:hAnsi="Times New Roman" w:eastAsia="楷体_GB2312" w:cs="楷体_GB2312"/>
          <w:spacing w:val="0"/>
          <w:sz w:val="32"/>
          <w:szCs w:val="32"/>
          <w:lang w:val="en-US" w:eastAsia="zh-CN"/>
        </w:rPr>
        <w:t>七</w:t>
      </w:r>
      <w:r>
        <w:rPr>
          <w:rFonts w:hint="eastAsia" w:ascii="Times New Roman" w:hAnsi="Times New Roman" w:eastAsia="楷体_GB2312" w:cs="楷体_GB2312"/>
          <w:spacing w:val="0"/>
          <w:sz w:val="32"/>
          <w:szCs w:val="32"/>
          <w:lang w:eastAsia="en-US"/>
        </w:rPr>
        <w:t>）基于大模型技术的教学助手智能体应用开发</w:t>
      </w:r>
    </w:p>
    <w:p w14:paraId="6690DFE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背景：随着教育强国建设和</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人工智能+教育</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战略深入推进，学生个性化学习、学校智慧管理、科学教育与科研创新均面临新需求与新挑战。传统教育模式在个性化支持、资源整合、科研效率等方面存在明显短板。基于智能体开发平台，融合多模态交互、知识增强与工具调用能力，可构建面向教师的教学助手智能体，实现辅助教案生成、资源检索等多环节工作，大幅减少教师重复性劳动，提升教研教学效率，覆盖教案生成、资源推荐、智能出题等备课全流程核心场景。</w:t>
      </w:r>
    </w:p>
    <w:p w14:paraId="1C71B31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教学助手智能体应用，实现以下核心功能：1、教案内容生成，基于培养要求、教学目标与知识点的多级映射关系，通过教学主题生成对应教案；2、教学资源推荐与智能工具</w:t>
      </w:r>
      <w:r>
        <w:rPr>
          <w:rFonts w:hint="default" w:ascii="Times New Roman" w:hAnsi="Times New Roman" w:eastAsia="仿宋_GB2312" w:cs="Times New Roman"/>
          <w:spacing w:val="0"/>
          <w:sz w:val="32"/>
          <w:szCs w:val="32"/>
          <w:highlight w:val="none"/>
          <w:lang w:val="en-US" w:eastAsia="zh-CN"/>
        </w:rPr>
        <w:t>，</w:t>
      </w:r>
      <w:r>
        <w:rPr>
          <w:rFonts w:hint="eastAsia" w:ascii="Times New Roman" w:hAnsi="Times New Roman" w:eastAsia="仿宋_GB2312" w:cs="Times New Roman"/>
          <w:spacing w:val="0"/>
          <w:sz w:val="32"/>
          <w:szCs w:val="32"/>
          <w:lang w:eastAsia="en-US"/>
        </w:rPr>
        <w:t>支持教材、图片、音视频等多种教学资源的智能引用，提供AI出题等智能工具；3、知识图谱生成</w:t>
      </w:r>
      <w:r>
        <w:rPr>
          <w:rFonts w:hint="default" w:ascii="Times New Roman" w:hAnsi="Times New Roman" w:eastAsia="仿宋_GB2312" w:cs="Times New Roman"/>
          <w:spacing w:val="0"/>
          <w:sz w:val="32"/>
          <w:szCs w:val="32"/>
          <w:highlight w:val="none"/>
          <w:lang w:val="en-US" w:eastAsia="zh-CN"/>
        </w:rPr>
        <w:t>，</w:t>
      </w:r>
      <w:r>
        <w:rPr>
          <w:rFonts w:hint="eastAsia" w:ascii="Times New Roman" w:hAnsi="Times New Roman" w:eastAsia="仿宋_GB2312" w:cs="Times New Roman"/>
          <w:spacing w:val="0"/>
          <w:sz w:val="32"/>
          <w:szCs w:val="32"/>
          <w:lang w:eastAsia="en-US"/>
        </w:rPr>
        <w:t>根据教案内容智能生成当前课堂细颗粒度知识图谱。</w:t>
      </w:r>
    </w:p>
    <w:p w14:paraId="189E403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并开发上层智能体应用，可调用工具链、集成教育/科研开源API；2、功能实现：实现生成教学助手的3项核心功能，包含教学教案、在线试题、知识图谱；3、作品提交内容需包括作品简介、团队介绍、技术方案文档、功能演示视频、教案、试题、知识图谱demo、系统原型。需附模型调用日志、关键提示词、工作流、多角色交互设计说明。</w:t>
      </w:r>
    </w:p>
    <w:p w14:paraId="564A30A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w:t>
      </w:r>
      <w:r>
        <w:rPr>
          <w:rFonts w:hint="eastAsia" w:ascii="Times New Roman" w:hAnsi="Times New Roman" w:eastAsia="楷体_GB2312" w:cs="楷体_GB2312"/>
          <w:spacing w:val="0"/>
          <w:sz w:val="32"/>
          <w:szCs w:val="32"/>
          <w:lang w:val="en-US" w:eastAsia="zh-CN"/>
        </w:rPr>
        <w:t>八</w:t>
      </w:r>
      <w:r>
        <w:rPr>
          <w:rFonts w:hint="eastAsia" w:ascii="Times New Roman" w:hAnsi="Times New Roman" w:eastAsia="楷体_GB2312" w:cs="楷体_GB2312"/>
          <w:spacing w:val="0"/>
          <w:sz w:val="32"/>
          <w:szCs w:val="32"/>
          <w:lang w:eastAsia="en-US"/>
        </w:rPr>
        <w:t>）基于大模型技术的银发守护智能体应用开发</w:t>
      </w:r>
    </w:p>
    <w:p w14:paraId="130E6A06">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背景：中国60岁以上老人超2</w:t>
      </w:r>
      <w:r>
        <w:rPr>
          <w:rFonts w:hint="eastAsia" w:ascii="Times New Roman" w:hAnsi="Times New Roman" w:eastAsia="仿宋_GB2312" w:cs="Times New Roman"/>
          <w:spacing w:val="0"/>
          <w:sz w:val="32"/>
          <w:szCs w:val="32"/>
          <w:lang w:val="en-US" w:eastAsia="zh-CN"/>
        </w:rPr>
        <w:t>.</w:t>
      </w:r>
      <w:r>
        <w:rPr>
          <w:rFonts w:hint="eastAsia" w:ascii="Times New Roman" w:hAnsi="Times New Roman" w:eastAsia="仿宋_GB2312" w:cs="Times New Roman"/>
          <w:spacing w:val="0"/>
          <w:sz w:val="32"/>
          <w:szCs w:val="32"/>
          <w:lang w:eastAsia="en-US"/>
        </w:rPr>
        <w:t>8亿，独居老人超1亿，跌倒、突发疾病等安全问题突出。传统监护依赖人工或穿戴设备，存在响应滞后、老人排斥等问题。家用智能中控屏作为家庭交互中枢，兼具视觉展示与语音交互优势，更易被老年群体接受。依托智能体开发平台的能力，可打造具备主动感知、自主决策能力的银发守护智能体。</w:t>
      </w:r>
    </w:p>
    <w:p w14:paraId="26A4226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家用智能中控屏的银发守护智能体应用，主要围绕以下内容构建：1、安全守护模块：通过视频分析识别跌倒、长时间未活动、深夜徘徊等异常行为，实时预警；2、生活关怀模块：感知老人日常作息节律，提供用药提醒、天气播报、健康建议等主动服务；3、情感陪伴模块：支持方言语音交互，提供情绪安抚、亲情视频通话、娱乐内容推荐等功能；4、紧急联动模块：异常情况自动分级通知子女/社区/120，生成标准化工单并追踪处置进度。</w:t>
      </w:r>
    </w:p>
    <w:p w14:paraId="75E02D8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视频理解、行为分析、语音交互、异常预警四大核心模块；2、交互简洁友好，支持方言识别，字体图标适老化设计，充分考虑老年人使用习惯；3、设置隐私保护机制，视频数据本地脱敏处理，敏感功能需授权确认，支持一键关闭摄像头；4、作品提交内容需包括作品简介、团队介绍、技术方案文档及功能演示视频、系统原型，需附模型调用日志。</w:t>
      </w:r>
    </w:p>
    <w:p w14:paraId="76BCC4A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w:t>
      </w:r>
      <w:r>
        <w:rPr>
          <w:rFonts w:hint="eastAsia" w:ascii="Times New Roman" w:hAnsi="Times New Roman" w:eastAsia="楷体_GB2312" w:cs="楷体_GB2312"/>
          <w:spacing w:val="0"/>
          <w:sz w:val="32"/>
          <w:szCs w:val="32"/>
          <w:lang w:val="en-US" w:eastAsia="zh-CN"/>
        </w:rPr>
        <w:t>九</w:t>
      </w:r>
      <w:r>
        <w:rPr>
          <w:rFonts w:hint="eastAsia" w:ascii="Times New Roman" w:hAnsi="Times New Roman" w:eastAsia="楷体_GB2312" w:cs="楷体_GB2312"/>
          <w:spacing w:val="0"/>
          <w:sz w:val="32"/>
          <w:szCs w:val="32"/>
          <w:lang w:eastAsia="en-US"/>
        </w:rPr>
        <w:t>）基于大模型技术的云盘智能体应用开发</w:t>
      </w:r>
    </w:p>
    <w:p w14:paraId="06076F1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背景：个人与企业云存储数据量持续增长，传统云盘仅具备存储与同步功能，面临文件检索困难、内容利用率低、安全管理薄弱等痛点。依托智能体开发平台与大模型的多模态理解与生成能力，可将云盘从</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被动存储</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升级为</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主动管理</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，打造懂内容、会整理、能协作的智能云盘助手。</w:t>
      </w:r>
    </w:p>
    <w:p w14:paraId="1E3CC4A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云盘智能体应用，主要围绕以下内容构建：1、智能文件管理：自动识别文件类型与内容，智能分类标签、重复文件检测；2、语义检索与问答：支持自然语言搜索文件内容，基于文档内容回答问题，跨文件信息整合；3、文档处理与生成：自动摘要长文档、格式转换、内容提炼、基于云盘素材生成报告/演示文稿；4、安全与协作：敏感文件自动识别与加密、共享权限智能推荐、协作编辑痕迹追踪。</w:t>
      </w:r>
    </w:p>
    <w:p w14:paraId="7CBEF60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文件理解、语义检索、内容生成、安全管控四大核心模块，可对接联通云盘API或主流云存储协议；2、设置数据安全机制，文件内容本地脱敏处理，敏感操作需授权确认，支持隐私文件加密存储；3、作品提交内容需包括作品简介、团队介绍、技术方案文档及功能演示视频、系统原型，需附模型调用日志。</w:t>
      </w:r>
    </w:p>
    <w:p w14:paraId="1DB262D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（十）基于大模型技术的跨学科多智能体协同学习系统</w:t>
      </w:r>
    </w:p>
    <w:p w14:paraId="56DAFB0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背景：教育正从</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知识传授</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转向</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人机协同知识建构</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。当前智能教学工具多为单点辅助，缺乏跨学科知识融合与多智能体协同能力，难以培养学生解决复杂问题的创新思维。</w:t>
      </w:r>
    </w:p>
    <w:p w14:paraId="1BBA365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内容：基于联通元景万悟等智能体开发平台，构建一个多智能体协同的跨学科探究式学习系统。系统需包含：1、学科智能体：针对数理、文史、艺术等不同学科，构建具备领域知识图谱与教学策略的专用智能体</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2、协同调度引擎：根据学习任务，自动组织相关学科智能体协作</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3、认知轨迹可视化：实时记录并展示学生在多智能体引导下的思维路径，提供个性化反馈。</w:t>
      </w:r>
    </w:p>
    <w:p w14:paraId="6F9EE82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要求：1、基于智能体开发平台及其他大模型技术，参考</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规划-行动-反思</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闭环逻辑，构建上层智能体应用；2、核心功能贴合大学生真实学习场景，具备用户学习数据隐私保护机制；3、作品提交内容需包括作品简介、团队介绍、技术方案文档及功能演示视频、系统原型，需附模型调用日志。</w:t>
      </w:r>
    </w:p>
    <w:p w14:paraId="3D0554A6">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（十</w:t>
      </w:r>
      <w:r>
        <w:rPr>
          <w:rFonts w:hint="eastAsia" w:ascii="Times New Roman" w:hAnsi="Times New Roman" w:eastAsia="楷体_GB2312" w:cs="楷体_GB2312"/>
          <w:spacing w:val="0"/>
          <w:sz w:val="32"/>
          <w:szCs w:val="32"/>
          <w:lang w:val="en-US" w:eastAsia="zh-CN"/>
        </w:rPr>
        <w:t>一</w:t>
      </w:r>
      <w:r>
        <w:rPr>
          <w:rFonts w:hint="eastAsia" w:ascii="Times New Roman" w:hAnsi="Times New Roman" w:eastAsia="楷体_GB2312" w:cs="楷体_GB2312"/>
          <w:spacing w:val="0"/>
          <w:sz w:val="32"/>
          <w:szCs w:val="32"/>
          <w:lang w:eastAsia="en-US"/>
        </w:rPr>
        <w:t>）基于大模型技术的企业级安全智能办公助手开发</w:t>
      </w:r>
    </w:p>
    <w:p w14:paraId="6974DC26">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随着数字化办公全面普及，各类AI智能体快速落地，但企业级应用普遍面临核心数据泄露、权限管控缺失、合规审计难等安全痛点。依托智能体开发平台端云协同能力与运营商级安全体系，可打造安全可控的企业级办公智能体，为政企数字化转型提供合规高效的解决方案。</w:t>
      </w:r>
    </w:p>
    <w:p w14:paraId="3A17E77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企业级安全智能办公助手，主要围绕以下内容构建：1、端云协同分级架构设计，实现敏感数据本地处理、非敏感需求云端赋能；2、安全可控核心能力建设，覆盖文档权限管控、敏感信息脱敏、全链路操作审计；3、全场景办公任务自动化，实现多步骤任务编排、文稿智能生成、会议纪要提炼、合规校验等办公功能。</w:t>
      </w:r>
    </w:p>
    <w:p w14:paraId="24A2ABF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端云协同架构的企业级安全办公智能体，可适配主流办公软件；2、需实现至少3类企业办公场景自动化，具备完善的权限管理、数据加密、合规审计等安全机制，支持多模型按需切换配置；3、提交内容应包括作品简介、团队介绍、技术方案说明、安全架构设计文档、功能demo视频展示、系统原型、配套代码等。</w:t>
      </w:r>
    </w:p>
    <w:p w14:paraId="27FD124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（十</w:t>
      </w:r>
      <w:r>
        <w:rPr>
          <w:rFonts w:hint="eastAsia" w:ascii="Times New Roman" w:hAnsi="Times New Roman" w:eastAsia="楷体_GB2312" w:cs="楷体_GB2312"/>
          <w:spacing w:val="0"/>
          <w:sz w:val="32"/>
          <w:szCs w:val="32"/>
          <w:lang w:val="en-US" w:eastAsia="zh-CN"/>
        </w:rPr>
        <w:t>二</w:t>
      </w:r>
      <w:r>
        <w:rPr>
          <w:rFonts w:hint="eastAsia" w:ascii="Times New Roman" w:hAnsi="Times New Roman" w:eastAsia="楷体_GB2312" w:cs="楷体_GB2312"/>
          <w:spacing w:val="0"/>
          <w:sz w:val="32"/>
          <w:szCs w:val="32"/>
          <w:lang w:eastAsia="en-US"/>
        </w:rPr>
        <w:t>）基于智能视觉分析的智能体应用开发</w:t>
      </w:r>
    </w:p>
    <w:p w14:paraId="7437672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当前多行业视觉监测场景中，传统视觉方案普遍存在识别精度不足、场景适配性差、干扰排除能力弱、交互便捷性低等痛点，难以满足各行业多样化、高标准的监测需求。依托智能体开发平台，构建智能视觉分析智能体，可通过训练Qwen-VL等专业视觉大模型独立实现，也可采用元景大模型、</w:t>
      </w:r>
      <w:r>
        <w:rPr>
          <w:rFonts w:hint="eastAsia" w:ascii="Times New Roman" w:hAnsi="Times New Roman" w:eastAsia="仿宋_GB2312" w:cs="Times New Roman"/>
          <w:spacing w:val="0"/>
          <w:sz w:val="32"/>
          <w:szCs w:val="32"/>
          <w:lang w:eastAsia="zh-CN"/>
        </w:rPr>
        <w:t>DeepSeek</w:t>
      </w:r>
      <w:r>
        <w:rPr>
          <w:rFonts w:hint="eastAsia" w:ascii="Times New Roman" w:hAnsi="Times New Roman" w:eastAsia="仿宋_GB2312" w:cs="Times New Roman"/>
          <w:spacing w:val="0"/>
          <w:sz w:val="32"/>
          <w:szCs w:val="32"/>
          <w:lang w:eastAsia="en-US"/>
        </w:rPr>
        <w:t>等大模型与Yolo、SSD等轻量化检测模型协同实现，该实现模式可有效达成精准视觉检测、智能交互与场景适配，助力各行业视觉监测领域实现智能化升级，同时满足高准确率、低时延、高并发的实际应用诉求。</w:t>
      </w:r>
    </w:p>
    <w:p w14:paraId="02AE0A7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通用型视觉智能分析智能体，采用灵活多样的实现模式：既可直接通过训练微调专业视觉大模型，完成全流程视觉分析任务；也可由大模型负责自然语言交互、检测需求解读、结果总结及结构化报告生成，同时调度训练后的轻量化检测模型，高效完成精准目标检测、分类识别与异常判定，支持图片上传检测功能，形成视觉分析与智能交互的完整闭环。</w:t>
      </w:r>
    </w:p>
    <w:p w14:paraId="55D3110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应用方向不限于火焰识别、烟雾识别、动火作业检测、着装及行为规范检测等，可精准区分各类监测目标与干扰源，严格保障识别准确率，同时全面满足响应时延、并发处理等核心性能要求，适配不同场景的实际应用需求。</w:t>
      </w:r>
    </w:p>
    <w:p w14:paraId="7155EC6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基于智能体开发平台，采用灵活适配的视觉检测实现路径，构建视觉智能分析智能体，可根据具体场景需求，选择适宜的实现模式；核心实现要求：完成精准目标检测、分类识别与干扰排除，适配具体应用场景需求，各类监测目标识别准确率需大于90%，响应时延控制在2秒以内，具备稳定的并发处理能力，满足实际应用场景的高效、稳定运行需求；支持图片上传检测与场景适配，大模型交互流畅、响应精准，能够提供清晰易懂的检测结果解读及针对性指导建议，提升使用便捷性；提交内容需包括作品简介、团队介绍、技术方案说明、作品demo视频展示、配套素材及代码，附视觉算法训练相关说明等。</w:t>
      </w:r>
    </w:p>
    <w:p w14:paraId="71B5090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（十</w:t>
      </w:r>
      <w:r>
        <w:rPr>
          <w:rFonts w:hint="eastAsia" w:ascii="Times New Roman" w:hAnsi="Times New Roman" w:eastAsia="楷体_GB2312" w:cs="楷体_GB2312"/>
          <w:spacing w:val="0"/>
          <w:sz w:val="32"/>
          <w:szCs w:val="32"/>
          <w:lang w:val="en-US" w:eastAsia="zh-CN"/>
        </w:rPr>
        <w:t>三</w:t>
      </w:r>
      <w:r>
        <w:rPr>
          <w:rFonts w:hint="eastAsia" w:ascii="Times New Roman" w:hAnsi="Times New Roman" w:eastAsia="楷体_GB2312" w:cs="楷体_GB2312"/>
          <w:spacing w:val="0"/>
          <w:sz w:val="32"/>
          <w:szCs w:val="32"/>
          <w:lang w:eastAsia="en-US"/>
        </w:rPr>
        <w:t>）基于大模型技术的图片隐患识别智能体应用开发</w:t>
      </w:r>
    </w:p>
    <w:p w14:paraId="6D6BAAB4">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在安全生产、园区安防、工地管理、消防巡检、校园安全等场景中，现场巡检图片、监控抓拍图片、无人机巡查图片已成为风险排查的重要依据。传统人工判图存在效率低下、主观判断差异大、隐患漏检率高等问题。依托大模型的多模态理解、视觉感知与行业知识推理能力，可实现对隐患场景数据的自动化、智能化隐患识别，有效提升风险排查效率，推动安全管理向智能化转型。</w:t>
      </w:r>
    </w:p>
    <w:p w14:paraId="11382B9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图片场景的隐患识别智能体应用，主要围绕以下内容：1、多模态图片理解：支持对巡检照片、现场实拍图等进行内容解析，识别环境、设备、人员、物品等关键目标与空间关系</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2、隐患智能识别：基于隐患知识库，自动识别图片中典型安全隐患，包括但不限于未系安全带、配电房电缆沟孔洞未封堵等，可给出隐患描述、隐患等级、参考依据、整改建议</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3、结构化结果输出：自动生成隐患识别报告，包含隐患描述、隐患等级、参考依据、整改建议，支持批量判图与结果汇总。</w:t>
      </w:r>
    </w:p>
    <w:p w14:paraId="1803C71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要求：1、基于智能体开发平台及其他大模型技术，构建并开发面向图片隐患识别场景的智能体应用，系统架构完整、可运行演示</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2、应用需包含但不限于以下核心模块：隐患知识库、上传隐患图片、隐患识别、隐患识别报告生成等</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3、图片识别隐患准确合理，隐患判断逻辑清晰，交互流程流畅易用，界面原型完整可用</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eastAsia="en-US"/>
        </w:rPr>
        <w:t>4、作品提交内容需包括作品简介、团队介绍、技术方案文档及功能演示视频、系统原型，需附模型调用日志。</w:t>
      </w:r>
    </w:p>
    <w:p w14:paraId="610EB3D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lang w:eastAsia="en-US"/>
        </w:rPr>
      </w:pPr>
      <w:r>
        <w:rPr>
          <w:rFonts w:hint="eastAsia" w:ascii="Times New Roman" w:hAnsi="Times New Roman" w:eastAsia="楷体_GB2312" w:cs="楷体_GB2312"/>
          <w:spacing w:val="0"/>
          <w:sz w:val="32"/>
          <w:szCs w:val="32"/>
          <w:lang w:eastAsia="en-US"/>
        </w:rPr>
        <w:t>（十</w:t>
      </w:r>
      <w:r>
        <w:rPr>
          <w:rFonts w:hint="eastAsia" w:ascii="Times New Roman" w:hAnsi="Times New Roman" w:eastAsia="楷体_GB2312" w:cs="楷体_GB2312"/>
          <w:spacing w:val="0"/>
          <w:sz w:val="32"/>
          <w:szCs w:val="32"/>
          <w:lang w:val="en-US" w:eastAsia="zh-CN"/>
        </w:rPr>
        <w:t>四</w:t>
      </w:r>
      <w:r>
        <w:rPr>
          <w:rFonts w:hint="eastAsia" w:ascii="Times New Roman" w:hAnsi="Times New Roman" w:eastAsia="楷体_GB2312" w:cs="楷体_GB2312"/>
          <w:spacing w:val="0"/>
          <w:sz w:val="32"/>
          <w:szCs w:val="32"/>
          <w:lang w:eastAsia="en-US"/>
        </w:rPr>
        <w:t>）基于大模型技术的渔船证业不符的视觉研判应用开发</w:t>
      </w:r>
    </w:p>
    <w:p w14:paraId="6DA3471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渔船证业不符是指渔船实际作业类型与渔业捕捞许可证核定的作业类型不一致的现象，是渔业管理中的重点监管对象。传统人工核验主要依靠执法人员登船检查或视频监控人工判读，存在效率低、覆盖面窄、主观性强等问题。执法人员在茫茫海量船只中难以快速锁定可疑目标，往往只能采取抽查方式，大量违规行为难以被发现。随着渔业资源保护压力增大和监管要求提升，传统监管模式已难以满足现代化渔业监管需求。基于大模型技术的视觉研判系统，通过融合多模态数据与智能分析能力，可实现全天候、高精度的自动化监管，大幅提升执法效能。</w:t>
      </w:r>
    </w:p>
    <w:p w14:paraId="32412BB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开发面向渔船监管场景的智能研判应用，探索如何通过多模态感知与语义理解能力支持渔船作业类型识别、证业一致性研判等核心功能，打造智能化渔船执法辅助系统。</w:t>
      </w:r>
    </w:p>
    <w:p w14:paraId="2507541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视觉模型技术，构建并开发面向渔船证业不符监管场景的智能研判应用；2、应用需包含但不限于以下核心能力模块：渔船作业类型视觉识别（通过图像/视频识别网具类型、作业姿态）准确可靠，证业一致性语义研判（比对实际作业特征与许可证信息）合理精准；3、作品提交内容需包括作品简介、团队介绍、技术方案文档及功能演示视频、系统原型。需附模型调用日志。</w:t>
      </w:r>
    </w:p>
    <w:p w14:paraId="2D9A203C">
      <w:pPr>
        <w:keepNext w:val="0"/>
        <w:keepLines w:val="0"/>
        <w:pageBreakBefore w:val="0"/>
        <w:widowControl w:val="0"/>
        <w:shd w:val="clear"/>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sz w:val="32"/>
          <w:szCs w:val="32"/>
          <w:highlight w:val="none"/>
          <w:lang w:eastAsia="en-US"/>
        </w:rPr>
      </w:pPr>
      <w:r>
        <w:rPr>
          <w:rFonts w:hint="eastAsia" w:ascii="Times New Roman" w:hAnsi="Times New Roman" w:eastAsia="楷体_GB2312" w:cs="楷体_GB2312"/>
          <w:spacing w:val="0"/>
          <w:sz w:val="32"/>
          <w:szCs w:val="32"/>
          <w:highlight w:val="none"/>
          <w:lang w:eastAsia="en-US"/>
        </w:rPr>
        <w:t>（十</w:t>
      </w:r>
      <w:r>
        <w:rPr>
          <w:rFonts w:hint="eastAsia" w:ascii="Times New Roman" w:hAnsi="Times New Roman" w:eastAsia="楷体_GB2312" w:cs="楷体_GB2312"/>
          <w:spacing w:val="0"/>
          <w:sz w:val="32"/>
          <w:szCs w:val="32"/>
          <w:highlight w:val="none"/>
          <w:lang w:val="en-US" w:eastAsia="zh-CN"/>
        </w:rPr>
        <w:t>五</w:t>
      </w:r>
      <w:r>
        <w:rPr>
          <w:rFonts w:hint="eastAsia" w:ascii="Times New Roman" w:hAnsi="Times New Roman" w:eastAsia="楷体_GB2312" w:cs="楷体_GB2312"/>
          <w:spacing w:val="0"/>
          <w:sz w:val="32"/>
          <w:szCs w:val="32"/>
          <w:highlight w:val="none"/>
          <w:lang w:eastAsia="en-US"/>
        </w:rPr>
        <w:t>）基于</w:t>
      </w:r>
      <w:r>
        <w:rPr>
          <w:rFonts w:hint="eastAsia" w:ascii="Times New Roman" w:hAnsi="Times New Roman" w:eastAsia="楷体_GB2312" w:cs="楷体_GB2312"/>
          <w:spacing w:val="0"/>
          <w:sz w:val="32"/>
          <w:szCs w:val="32"/>
          <w:highlight w:val="none"/>
          <w:lang w:val="en-US" w:eastAsia="zh-CN"/>
        </w:rPr>
        <w:t>通用智能体</w:t>
      </w:r>
      <w:r>
        <w:rPr>
          <w:rFonts w:hint="eastAsia" w:ascii="Times New Roman" w:hAnsi="Times New Roman" w:eastAsia="楷体_GB2312" w:cs="楷体_GB2312"/>
          <w:spacing w:val="0"/>
          <w:sz w:val="32"/>
          <w:szCs w:val="32"/>
          <w:highlight w:val="none"/>
          <w:lang w:eastAsia="en-US"/>
        </w:rPr>
        <w:t>的AI科研智能体应用开发</w:t>
      </w:r>
    </w:p>
    <w:p w14:paraId="7383AF7F">
      <w:pPr>
        <w:keepNext w:val="0"/>
        <w:keepLines w:val="0"/>
        <w:pageBreakBefore w:val="0"/>
        <w:widowControl w:val="0"/>
        <w:shd w:val="clear"/>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背景：当前高校师生在开展科研工作时，普遍面临文献检索量大、摘要整理耗时、实验数据统计繁琐、参考文献格式不规范、科研流程重复性劳动多等痛点，大量事务性工作挤占核心研究时间，导致科研效率偏低。</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工作流框架具备流程编排、任务递归、工具链调用与自动化执行能力，可将分散的科研辅助操作整合为闭环工作流；结合智能体开发平台，将</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自动化逻辑融入科研智能体，可实现科研辅助任务全流程自动化，大幅降低师生重复性工作量，释放科研精力。</w:t>
      </w:r>
    </w:p>
    <w:p w14:paraId="0DA420A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内容：基于联通元景万悟等智能体开发平台与</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自动化工作流框架，开发面向高校科研场景的AI科研智能体，将</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流程编排、递归执行、任务自动化能力深度融入，实现科研辅助全流程自动化，替代重复性科研事务工作。核心功能需覆盖：1、科研文献自动化检索与递归筛选：基于用户设定的研究方向、关键词、期刊范围，通过</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工作流递归调用文献库接口，批量获取文献并自动过滤低相关度内容，形成精准文献池；2、文献核心信息抽取与综述框架生成：自动提取文献标题、作者、摘要、创新点、结论等关键信息，批量生成摘要整理稿，并基于</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结构化逻辑自动生成文献综述大纲与初稿框架；3、实验数据初步统计与可视化：支持上传实验数据（表格、文本等），自动完成基础统计、异常值标记、趋势分析，生成简明统计结果与可视化图表建议；4、参考文献自动格式化与校对：根据GB/T7714等国标格式，对文献条目自动排版、校对、纠错，支持多引用格式一键切换；5、科研流程断点续跑与人工干预：基于</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工作流状态管理，支持任务暂停、修改、续跑，允许用户在自动化流程中人工补充、修正内容。</w:t>
      </w:r>
    </w:p>
    <w:p w14:paraId="2266474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仿宋_GB2312" w:cs="Times New Roman"/>
          <w:spacing w:val="0"/>
          <w:sz w:val="32"/>
          <w:szCs w:val="32"/>
          <w:lang w:eastAsia="en-US"/>
        </w:rPr>
      </w:pPr>
      <w:r>
        <w:rPr>
          <w:rFonts w:hint="eastAsia" w:ascii="Times New Roman" w:hAnsi="Times New Roman" w:eastAsia="仿宋_GB2312" w:cs="Times New Roman"/>
          <w:spacing w:val="0"/>
          <w:sz w:val="32"/>
          <w:szCs w:val="32"/>
          <w:lang w:eastAsia="en-US"/>
        </w:rPr>
        <w:t>要求：1、基于智能体开发平台及大模型能力，深度融合</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自动化工作流框架，采用RAG检索增强、流程编排、多工具调用等技术，搭建可运行、可演示的科研智能体系统；2、必须实现文献自动化检索递归筛选、文献信息抽取与综述生成、数据初步统计、参考文献格式化四大核心功能，逻辑清晰、执行稳定、结果准确；3、支持文本交互与文件上传，自动化流程可视化，可展示</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工作流执行步骤与状态；4、基于公开学术文献库、公开数据集、国标文档等构建知识库，不使用涉密数据；5、作品提交内容需包含作品简介、团队介绍、技术方案文档（含</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工作流设计、模型集成方案、系统实现逻辑等）、功能演示视频、系统原型、核心代码片段、模型调用日志、</w:t>
      </w:r>
      <w:r>
        <w:rPr>
          <w:rFonts w:hint="eastAsia" w:ascii="Times New Roman" w:hAnsi="Times New Roman" w:eastAsia="仿宋_GB2312" w:cs="Times New Roman"/>
          <w:spacing w:val="0"/>
          <w:sz w:val="32"/>
          <w:szCs w:val="32"/>
          <w:lang w:val="en-US" w:eastAsia="zh-CN"/>
        </w:rPr>
        <w:t>通用智能体</w:t>
      </w:r>
      <w:r>
        <w:rPr>
          <w:rFonts w:hint="eastAsia" w:ascii="Times New Roman" w:hAnsi="Times New Roman" w:eastAsia="仿宋_GB2312" w:cs="Times New Roman"/>
          <w:spacing w:val="0"/>
          <w:sz w:val="32"/>
          <w:szCs w:val="32"/>
          <w:lang w:eastAsia="en-US"/>
        </w:rPr>
        <w:t>流程配置文件与执行日志。</w:t>
      </w:r>
    </w:p>
    <w:p w14:paraId="16CFD65F"/>
    <w:p w14:paraId="633330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7F" w:usb3="00000000" w:csb0="203F01FF" w:csb1="DFFF0000"/>
  </w:font>
  <w:font w:name="方正小标宋简体">
    <w:altName w:val="方正舒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881341"/>
    <w:rsid w:val="33881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2026-08-31T00:19:00Z</dcterms:created>
  <dc:creator>陈森亮</dc:creator>
  <cp:lastModifiedBy>陈森亮</cp:lastModifiedBy>
  <dcterms:modified xsi:type="dcterms:W3CDTF">2026-08-31T00:20:55Z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572CED3669C74786B6195D4CC2C88071_11</vt:lpwstr>
  </property>
  <property fmtid="{D5CDD505-2E9C-101B-9397-08002B2CF9AE}" pid="4" name="KSOTemplateDocerSaveRecord">
    <vt:lpwstr>eyJoZGlkIjoiMjliYTkxYTFkY2JiNzBiOWNjMDM3NTFiODQ5YjEzODkiLCJ1c2VySWQiOiIxNzM3NjEwMzU2In0=</vt:lpwstr>
  </property>
</Properties>
</file>